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AA2E7D" w14:textId="77777777" w:rsidR="009F3944" w:rsidRDefault="009F3944">
      <w:pPr>
        <w:pStyle w:val="Normal1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4702" w:type="dxa"/>
        <w:tblInd w:w="-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280"/>
        <w:gridCol w:w="3915"/>
        <w:gridCol w:w="3967"/>
        <w:gridCol w:w="3870"/>
      </w:tblGrid>
      <w:tr w:rsidR="009F3944" w14:paraId="049E51D4" w14:textId="77777777" w:rsidTr="009C1F7A">
        <w:trPr>
          <w:trHeight w:val="300"/>
        </w:trPr>
        <w:tc>
          <w:tcPr>
            <w:tcW w:w="14702" w:type="dxa"/>
            <w:gridSpan w:val="5"/>
          </w:tcPr>
          <w:p w14:paraId="2EC632F9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  <w:t>Blended Learning Rubric</w:t>
            </w:r>
          </w:p>
        </w:tc>
      </w:tr>
      <w:tr w:rsidR="009F3944" w14:paraId="04013228" w14:textId="77777777" w:rsidTr="009C1F7A">
        <w:trPr>
          <w:trHeight w:val="300"/>
        </w:trPr>
        <w:tc>
          <w:tcPr>
            <w:tcW w:w="14702" w:type="dxa"/>
            <w:gridSpan w:val="5"/>
          </w:tcPr>
          <w:p w14:paraId="48B5DD8C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District Vision: All students will be college and/or career ready.</w:t>
            </w:r>
          </w:p>
        </w:tc>
      </w:tr>
      <w:tr w:rsidR="009F3944" w14:paraId="0E45F192" w14:textId="77777777" w:rsidTr="009C1F7A">
        <w:trPr>
          <w:trHeight w:val="300"/>
        </w:trPr>
        <w:tc>
          <w:tcPr>
            <w:tcW w:w="14702" w:type="dxa"/>
            <w:gridSpan w:val="5"/>
          </w:tcPr>
          <w:p w14:paraId="3CEDEA65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District Goal: Personalize student learning through a blend of direct instruction and technology</w:t>
            </w:r>
          </w:p>
        </w:tc>
      </w:tr>
      <w:tr w:rsidR="009F3944" w14:paraId="5F1988CE" w14:textId="77777777" w:rsidTr="009C1F7A">
        <w:trPr>
          <w:trHeight w:val="300"/>
        </w:trPr>
        <w:tc>
          <w:tcPr>
            <w:tcW w:w="670" w:type="dxa"/>
          </w:tcPr>
          <w:p w14:paraId="2C512F74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80" w:type="dxa"/>
          </w:tcPr>
          <w:p w14:paraId="41963E92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  <w:t>CMCSS Vision</w:t>
            </w:r>
          </w:p>
        </w:tc>
        <w:tc>
          <w:tcPr>
            <w:tcW w:w="3915" w:type="dxa"/>
          </w:tcPr>
          <w:p w14:paraId="3BEB412E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Early</w:t>
            </w:r>
          </w:p>
        </w:tc>
        <w:tc>
          <w:tcPr>
            <w:tcW w:w="3967" w:type="dxa"/>
          </w:tcPr>
          <w:p w14:paraId="4B3048E4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Developing </w:t>
            </w:r>
          </w:p>
        </w:tc>
        <w:tc>
          <w:tcPr>
            <w:tcW w:w="3870" w:type="dxa"/>
          </w:tcPr>
          <w:p w14:paraId="16694219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Advanced</w:t>
            </w:r>
          </w:p>
        </w:tc>
      </w:tr>
      <w:tr w:rsidR="009F3944" w14:paraId="35C13240" w14:textId="77777777" w:rsidTr="009C1F7A">
        <w:trPr>
          <w:trHeight w:val="1800"/>
        </w:trPr>
        <w:tc>
          <w:tcPr>
            <w:tcW w:w="670" w:type="dxa"/>
            <w:vMerge w:val="restart"/>
            <w:textDirection w:val="btLr"/>
          </w:tcPr>
          <w:p w14:paraId="71A22ADD" w14:textId="77777777" w:rsidR="009F3944" w:rsidRDefault="009C1F7A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Effectiveness – Ownership - Engagement</w:t>
            </w:r>
          </w:p>
          <w:p w14:paraId="75534CEE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17BB2EFD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03066260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26F8B4C6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2E3BD6BE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48A9F417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B05F19E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E131D60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E5AEA0D" w14:textId="77777777" w:rsidR="009F3944" w:rsidRDefault="009F3944">
            <w:pPr>
              <w:pStyle w:val="Normal1"/>
              <w:ind w:left="113" w:right="113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2280" w:type="dxa"/>
          </w:tcPr>
          <w:p w14:paraId="30D1F06E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0101819C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31D5E263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755AC9F4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  <w:t>Increase student learning and mastery of standards.</w:t>
            </w:r>
          </w:p>
        </w:tc>
        <w:tc>
          <w:tcPr>
            <w:tcW w:w="3915" w:type="dxa"/>
          </w:tcPr>
          <w:p w14:paraId="370280C0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612259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138AB2F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660BECD5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Use some online content and activities to supplement instruction.       </w:t>
            </w:r>
          </w:p>
          <w:p w14:paraId="7289A182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Technology is used mainly for drill and practice type activities.</w:t>
            </w:r>
          </w:p>
        </w:tc>
        <w:tc>
          <w:tcPr>
            <w:tcW w:w="3967" w:type="dxa"/>
          </w:tcPr>
          <w:p w14:paraId="2505FB47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185A0CA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E7668F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0FA55759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Use online content and activities to regularly supplement instruction.    </w:t>
            </w:r>
          </w:p>
          <w:p w14:paraId="5514AABA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      </w:t>
            </w:r>
          </w:p>
          <w:p w14:paraId="14E680A8" w14:textId="75231F43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Technology tools are used for content delivery, drill and practice activities and provide</w:t>
            </w:r>
            <w:r w:rsidR="007741D4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timely, actionable feedback to </w:t>
            </w: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stud</w:t>
            </w:r>
            <w:r w:rsidR="00C8466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ents</w:t>
            </w:r>
            <w:r w:rsidR="00973633">
              <w:rPr>
                <w:rFonts w:ascii="Calibri" w:eastAsia="Calibri" w:hAnsi="Calibri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3870" w:type="dxa"/>
          </w:tcPr>
          <w:p w14:paraId="69E273C3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Online content is blended seamlessly with EDI, Kagan, and other best practices for both teaching and re-teaching or extension of student learning.</w:t>
            </w:r>
          </w:p>
          <w:p w14:paraId="2F7FEBAA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9809AD8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 variety of feedback tools are fully integrated into the lesson design and guide instructional decisions during and after instruction.</w:t>
            </w:r>
          </w:p>
        </w:tc>
      </w:tr>
      <w:tr w:rsidR="009F3944" w14:paraId="551E8E92" w14:textId="77777777" w:rsidTr="009C1F7A">
        <w:trPr>
          <w:trHeight w:val="1200"/>
        </w:trPr>
        <w:tc>
          <w:tcPr>
            <w:tcW w:w="670" w:type="dxa"/>
            <w:vMerge/>
          </w:tcPr>
          <w:p w14:paraId="4FB19CA9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</w:tcPr>
          <w:p w14:paraId="6BD3F04F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3CB6FCA3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5306CF75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</w:p>
          <w:p w14:paraId="475197F7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</w:p>
          <w:p w14:paraId="203FBE1E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</w:p>
          <w:p w14:paraId="486D4124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</w:p>
          <w:p w14:paraId="2268DD6B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  <w:t>Create and sustain conditions that foster increased productivity in a single class period.</w:t>
            </w:r>
          </w:p>
        </w:tc>
        <w:tc>
          <w:tcPr>
            <w:tcW w:w="3915" w:type="dxa"/>
          </w:tcPr>
          <w:p w14:paraId="2C03157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D5AFD34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6B0633E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67DC39EE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Basic routines and procedures for technology use have been established.</w:t>
            </w:r>
          </w:p>
          <w:p w14:paraId="06A75BC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D785527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The classroom culture allows for the possibility of face-to-face group work and at least one collaborative technology tool is available to students.</w:t>
            </w:r>
          </w:p>
          <w:p w14:paraId="6C67A909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FCC9F60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Classroom structure is primarily traditional with occasional opportunities for students to learn through other instructional models.</w:t>
            </w:r>
          </w:p>
        </w:tc>
        <w:tc>
          <w:tcPr>
            <w:tcW w:w="3967" w:type="dxa"/>
          </w:tcPr>
          <w:p w14:paraId="480B0F4D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6B56C640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B0077D0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Routines and procedures have been established, posted and are regularly referenced.</w:t>
            </w:r>
          </w:p>
          <w:p w14:paraId="5C015C6C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B4390CC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The classroom culture encourages face-to-face group work and at least one collaborative technology tool is used regularly for collaborative purposes.</w:t>
            </w:r>
          </w:p>
          <w:p w14:paraId="2A16BBBA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52C8B56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Classroom structure is sometimes varied (to include flipped classrooms, station-rotation, lab settings, and individual assignments) based on the demands of the lesson and the needs of students.</w:t>
            </w:r>
          </w:p>
        </w:tc>
        <w:tc>
          <w:tcPr>
            <w:tcW w:w="3870" w:type="dxa"/>
          </w:tcPr>
          <w:p w14:paraId="58EA47FE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 school and community understanding of routines and procedures allow lessons to flow without interruption.</w:t>
            </w:r>
          </w:p>
          <w:p w14:paraId="2ED8CEBD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E7FFEFA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The classroom culture fosters group work through face-to-face interaction and the use of one or more collaborative technology tools.</w:t>
            </w:r>
          </w:p>
          <w:p w14:paraId="1F65A041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8C19284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Classroom structure is routinely varied (to include flipped classrooms, station-rotation, lab settings, and individual assignments) to maximize instructional opportunities, based on the demands of the lesson and needs of individual students.</w:t>
            </w:r>
          </w:p>
        </w:tc>
      </w:tr>
      <w:tr w:rsidR="009F3944" w14:paraId="13D69EE7" w14:textId="77777777" w:rsidTr="009C1F7A">
        <w:trPr>
          <w:trHeight w:val="1200"/>
        </w:trPr>
        <w:tc>
          <w:tcPr>
            <w:tcW w:w="670" w:type="dxa"/>
            <w:vMerge/>
          </w:tcPr>
          <w:p w14:paraId="10504EDC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DFCE6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  <w:t>Build the capacity of students to demonstrate mastery of the standards through multiple modalities.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BFF7D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Utilize resources based on the demands of the standard being taught.</w:t>
            </w:r>
          </w:p>
          <w:p w14:paraId="435522AC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41FE62B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Encourage student ownership of learning and mastery through the use of reflection.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DD69D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Utilize multiple and varied resources based on the demands of the standard being taught and the learning styles of students.</w:t>
            </w:r>
          </w:p>
          <w:p w14:paraId="61AF1A74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596B0AE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Encourage student ownership of learning and mastery through the routine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use of </w:t>
            </w: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traditional and/or digital reflection tools.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4C333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Guide students to choose tools and materials that support learning based on learning style and personal preference.</w:t>
            </w:r>
          </w:p>
          <w:p w14:paraId="3EC15A03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AA700CE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Encourage student ownership of learning and mastery through the consistent implementation of productive reflective practices.</w:t>
            </w:r>
          </w:p>
        </w:tc>
      </w:tr>
      <w:tr w:rsidR="009F3944" w14:paraId="5DB1393A" w14:textId="77777777" w:rsidTr="009C1F7A">
        <w:trPr>
          <w:trHeight w:val="431"/>
        </w:trPr>
        <w:tc>
          <w:tcPr>
            <w:tcW w:w="670" w:type="dxa"/>
            <w:vMerge/>
          </w:tcPr>
          <w:p w14:paraId="2B9AC302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14032" w:type="dxa"/>
            <w:gridSpan w:val="4"/>
          </w:tcPr>
          <w:p w14:paraId="6B37FB51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  <w:t>Blended Learning Rubric</w:t>
            </w:r>
          </w:p>
        </w:tc>
      </w:tr>
      <w:tr w:rsidR="009F3944" w14:paraId="7BD66C27" w14:textId="77777777" w:rsidTr="009C1F7A">
        <w:trPr>
          <w:trHeight w:val="269"/>
        </w:trPr>
        <w:tc>
          <w:tcPr>
            <w:tcW w:w="670" w:type="dxa"/>
            <w:vMerge/>
          </w:tcPr>
          <w:p w14:paraId="72ED4800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14032" w:type="dxa"/>
            <w:gridSpan w:val="4"/>
          </w:tcPr>
          <w:p w14:paraId="13F0115A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District Vision: All students will be college and/or career ready.</w:t>
            </w:r>
          </w:p>
        </w:tc>
      </w:tr>
      <w:tr w:rsidR="009F3944" w14:paraId="290FD5D5" w14:textId="77777777" w:rsidTr="009C1F7A">
        <w:trPr>
          <w:trHeight w:val="350"/>
        </w:trPr>
        <w:tc>
          <w:tcPr>
            <w:tcW w:w="670" w:type="dxa"/>
            <w:vMerge/>
          </w:tcPr>
          <w:p w14:paraId="6C0018CA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14032" w:type="dxa"/>
            <w:gridSpan w:val="4"/>
          </w:tcPr>
          <w:p w14:paraId="5AC3EAB4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District Goal: Personalize student learning through a blend of direct instruction and technology</w:t>
            </w:r>
          </w:p>
        </w:tc>
      </w:tr>
      <w:tr w:rsidR="009F3944" w14:paraId="2FEBCC3F" w14:textId="77777777" w:rsidTr="009C1F7A">
        <w:trPr>
          <w:trHeight w:val="520"/>
        </w:trPr>
        <w:tc>
          <w:tcPr>
            <w:tcW w:w="670" w:type="dxa"/>
            <w:vMerge/>
          </w:tcPr>
          <w:p w14:paraId="5F8B0912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</w:tcPr>
          <w:p w14:paraId="73E7D652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8"/>
                <w:szCs w:val="28"/>
              </w:rPr>
              <w:t>CMCSS Vision</w:t>
            </w:r>
          </w:p>
        </w:tc>
        <w:tc>
          <w:tcPr>
            <w:tcW w:w="3915" w:type="dxa"/>
          </w:tcPr>
          <w:p w14:paraId="2015FF60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Early</w:t>
            </w:r>
          </w:p>
        </w:tc>
        <w:tc>
          <w:tcPr>
            <w:tcW w:w="3967" w:type="dxa"/>
          </w:tcPr>
          <w:p w14:paraId="06F2DBD2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Developing </w:t>
            </w:r>
          </w:p>
        </w:tc>
        <w:tc>
          <w:tcPr>
            <w:tcW w:w="3870" w:type="dxa"/>
          </w:tcPr>
          <w:p w14:paraId="2DE7C7E1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Advanced</w:t>
            </w:r>
          </w:p>
        </w:tc>
      </w:tr>
      <w:tr w:rsidR="009F3944" w14:paraId="6DC6E8BF" w14:textId="77777777" w:rsidTr="009C1F7A">
        <w:trPr>
          <w:trHeight w:val="2400"/>
        </w:trPr>
        <w:tc>
          <w:tcPr>
            <w:tcW w:w="670" w:type="dxa"/>
            <w:vMerge/>
          </w:tcPr>
          <w:p w14:paraId="040747A2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</w:tcPr>
          <w:p w14:paraId="2653D4EA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791BDE49" w14:textId="77777777" w:rsidR="009F3944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3D2B8916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  <w:color w:val="38761D"/>
                <w:sz w:val="22"/>
                <w:szCs w:val="22"/>
              </w:rPr>
            </w:pPr>
          </w:p>
          <w:p w14:paraId="4A36E07E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  <w:t>Meet students at their current level of performance and individualize instruction based on student needs.</w:t>
            </w:r>
          </w:p>
        </w:tc>
        <w:tc>
          <w:tcPr>
            <w:tcW w:w="3915" w:type="dxa"/>
          </w:tcPr>
          <w:p w14:paraId="364F10E6" w14:textId="77777777" w:rsidR="009F3944" w:rsidRPr="009C1F7A" w:rsidRDefault="009F3944">
            <w:pPr>
              <w:pStyle w:val="Normal1"/>
              <w:contextualSpacing w:val="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2481A34" w14:textId="77777777" w:rsidR="009F3944" w:rsidRPr="009C1F7A" w:rsidRDefault="009F3944">
            <w:pPr>
              <w:pStyle w:val="Normal1"/>
              <w:contextualSpacing w:val="0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321FDC7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Use traditional and/or technology-enhanced assessment (both formative and summative) to collect data and track student performance.  </w:t>
            </w:r>
          </w:p>
          <w:p w14:paraId="7A11A0AB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                                           </w:t>
            </w:r>
          </w:p>
          <w:p w14:paraId="114DB72F" w14:textId="3A559DBB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Differentiate re-teaching or extension activities for like groups of students using appropriate traditional or technology-enhanced activities</w:t>
            </w:r>
            <w:r w:rsidR="00973633">
              <w:rPr>
                <w:rFonts w:ascii="Calibri" w:eastAsia="Calibri" w:hAnsi="Calibri" w:cs="Calibri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967" w:type="dxa"/>
          </w:tcPr>
          <w:p w14:paraId="6D7951AD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Use a blend of traditional and technology-enhanced assessment data (both formative and summative) to identify skill gaps and proficiency levels of individual students.  Students collaborate with teacher to set lea</w:t>
            </w:r>
            <w:r w:rsidR="007741D4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rning goals and </w:t>
            </w: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begin to track their own progress regarding mastery of standards.</w:t>
            </w:r>
          </w:p>
          <w:p w14:paraId="623F3E40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F440660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Differentiate re-teaching or extension activities for either like groups or individual students using appropriate traditional and technology-enhanced activities.</w:t>
            </w:r>
          </w:p>
        </w:tc>
        <w:tc>
          <w:tcPr>
            <w:tcW w:w="3870" w:type="dxa"/>
          </w:tcPr>
          <w:p w14:paraId="5FB564A5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Provide access to a blend of traditional and technology-enhanced assessment data (both formative and summative) for students to set learning goals and track progress toward mastery of their own skill gaps and proficiency levels.</w:t>
            </w:r>
          </w:p>
          <w:p w14:paraId="4CE2EAA1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84FF06A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Guide student choice of appropriate re-teaching or extension activities using traditional and technology-enhanced activities, based on individual learning preferences.</w:t>
            </w:r>
          </w:p>
        </w:tc>
      </w:tr>
      <w:tr w:rsidR="009F3944" w14:paraId="7A1194AF" w14:textId="77777777" w:rsidTr="009C1F7A">
        <w:trPr>
          <w:trHeight w:val="880"/>
        </w:trPr>
        <w:tc>
          <w:tcPr>
            <w:tcW w:w="670" w:type="dxa"/>
            <w:vMerge/>
          </w:tcPr>
          <w:p w14:paraId="02DBEA37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</w:tcPr>
          <w:p w14:paraId="49B4F927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  <w:t>Choose a blend of traditional and technology-enhanced activities and resources to meet the demands of each standard.</w:t>
            </w:r>
          </w:p>
        </w:tc>
        <w:tc>
          <w:tcPr>
            <w:tcW w:w="3915" w:type="dxa"/>
          </w:tcPr>
          <w:p w14:paraId="3EC7175A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6D79B6D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Identify and describe each level of the SAMR model.</w:t>
            </w:r>
          </w:p>
          <w:p w14:paraId="4872AC98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25410C4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Use technology primarily as a substitute for traditional learning activities.</w:t>
            </w:r>
          </w:p>
          <w:p w14:paraId="1E142F5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7689ABC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Utilize district provided resources following professional development.</w:t>
            </w:r>
          </w:p>
        </w:tc>
        <w:tc>
          <w:tcPr>
            <w:tcW w:w="3967" w:type="dxa"/>
          </w:tcPr>
          <w:p w14:paraId="5304E361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Refer to the SAMR model in the backwards design of lesson planning.  </w:t>
            </w:r>
          </w:p>
          <w:p w14:paraId="7D93EC35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ED9A3A4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Blend traditional activities with some lessons at various levels on the SAMR model, based on the expectations of the standard.</w:t>
            </w:r>
          </w:p>
          <w:p w14:paraId="6E67A41D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90FEF10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Seek supplemental resources and tools to enhance delivery of instruction and mastery of standards. </w:t>
            </w:r>
          </w:p>
        </w:tc>
        <w:tc>
          <w:tcPr>
            <w:tcW w:w="3870" w:type="dxa"/>
          </w:tcPr>
          <w:p w14:paraId="1352FC7A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1AC889E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3020D5D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0C754EC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Seamlessly blend traditional and technology-enhanced resources and activities, using appropriate levels of the SAMR model based on the expectations of the standard and the needs of individual students. </w:t>
            </w:r>
          </w:p>
        </w:tc>
      </w:tr>
      <w:tr w:rsidR="009F3944" w14:paraId="349BD1A1" w14:textId="77777777" w:rsidTr="009C1F7A">
        <w:trPr>
          <w:trHeight w:val="880"/>
        </w:trPr>
        <w:tc>
          <w:tcPr>
            <w:tcW w:w="670" w:type="dxa"/>
          </w:tcPr>
          <w:p w14:paraId="0F820232" w14:textId="77777777" w:rsidR="009F3944" w:rsidRDefault="009F3944">
            <w:pPr>
              <w:pStyle w:val="Normal1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2280" w:type="dxa"/>
          </w:tcPr>
          <w:p w14:paraId="099AEBF1" w14:textId="77777777" w:rsidR="009F3944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b/>
                <w:color w:val="38761D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8761D"/>
              </w:rPr>
              <w:t>Make connections between content that is being taught in the classrooms and the real-world application of that content.</w:t>
            </w:r>
          </w:p>
        </w:tc>
        <w:tc>
          <w:tcPr>
            <w:tcW w:w="3915" w:type="dxa"/>
          </w:tcPr>
          <w:p w14:paraId="175A43BC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CE54C33" w14:textId="77777777" w:rsidR="009F3944" w:rsidRPr="009C1F7A" w:rsidRDefault="009F394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03A9369E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Teacher is aware of traditional and technology-enhanced community resources that relate to standards being addressed in the classroom.</w:t>
            </w:r>
          </w:p>
        </w:tc>
        <w:tc>
          <w:tcPr>
            <w:tcW w:w="3967" w:type="dxa"/>
          </w:tcPr>
          <w:p w14:paraId="0DA10911" w14:textId="77777777" w:rsidR="009F3944" w:rsidRPr="009C1F7A" w:rsidRDefault="009F3944">
            <w:pPr>
              <w:pStyle w:val="Normal1"/>
              <w:contextualSpacing w:val="0"/>
              <w:rPr>
                <w:rFonts w:ascii="Calibri" w:eastAsia="Calibri" w:hAnsi="Calibri" w:cs="Calibri"/>
                <w:color w:val="auto"/>
                <w:sz w:val="12"/>
                <w:szCs w:val="12"/>
              </w:rPr>
            </w:pPr>
          </w:p>
          <w:p w14:paraId="75E59775" w14:textId="77777777" w:rsidR="009F3944" w:rsidRPr="009C1F7A" w:rsidRDefault="007741D4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Teacher uses a </w:t>
            </w:r>
            <w:r w:rsidR="009C1F7A"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blend of traditional and technology-enhanced resources to seek out and take advantage of local and global community resources that relate to standards being addressed in the classroom.</w:t>
            </w:r>
          </w:p>
        </w:tc>
        <w:tc>
          <w:tcPr>
            <w:tcW w:w="3870" w:type="dxa"/>
          </w:tcPr>
          <w:p w14:paraId="03F04BE2" w14:textId="77777777" w:rsidR="009F3944" w:rsidRPr="009C1F7A" w:rsidRDefault="009C1F7A">
            <w:pPr>
              <w:pStyle w:val="Normal1"/>
              <w:contextualSpacing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9C1F7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 blend of traditional and technology-enhanced resources allow students to seek out and take advantage of local and global community resources that relate to standards being addressed in the classroom.</w:t>
            </w:r>
          </w:p>
        </w:tc>
      </w:tr>
    </w:tbl>
    <w:p w14:paraId="58C5CDA0" w14:textId="77777777" w:rsidR="009F3944" w:rsidRDefault="009F3944">
      <w:pPr>
        <w:pStyle w:val="Normal1"/>
      </w:pPr>
    </w:p>
    <w:p w14:paraId="376E5F8C" w14:textId="77777777" w:rsidR="009F3944" w:rsidRDefault="009F3944">
      <w:pPr>
        <w:pStyle w:val="Normal1"/>
      </w:pPr>
      <w:bookmarkStart w:id="1" w:name="_gjdgxs" w:colFirst="0" w:colLast="0"/>
      <w:bookmarkEnd w:id="1"/>
    </w:p>
    <w:sectPr w:rsidR="009F3944" w:rsidSect="009C1F7A">
      <w:pgSz w:w="15840" w:h="12240"/>
      <w:pgMar w:top="630" w:right="1440" w:bottom="45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44"/>
    <w:rsid w:val="00054314"/>
    <w:rsid w:val="00632637"/>
    <w:rsid w:val="006875FD"/>
    <w:rsid w:val="007741D4"/>
    <w:rsid w:val="00973633"/>
    <w:rsid w:val="009C1F7A"/>
    <w:rsid w:val="009F3944"/>
    <w:rsid w:val="00C8466E"/>
    <w:rsid w:val="00D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F866B6"/>
  <w15:docId w15:val="{3009590C-E86B-4A21-9D38-7048BB44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3B7AC3-300D-48B2-990B-5CFA5DD8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2017-05-31T22:57:00Z</dcterms:created>
  <dcterms:modified xsi:type="dcterms:W3CDTF">2017-05-31T22:57:00Z</dcterms:modified>
</cp:coreProperties>
</file>